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市民政局2020年政府信息公开工作年度报告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根据《中华人民共和国政府信息公开条例》（下称《条例》）相关规定及省、市相关文件精神编制。报告全文由总体情况、主动公开政府信息情况、收到和处理政府信息公开申请情况、政府信息公开行政复议、行政诉讼情况、存在的主要问题及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组成。本报告中所列数据的统计时限自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2020年，市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民政局高度重视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公开工作的开展，不断提高民政系统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及时将2020年度重点工作完成情况面向社会公开，自觉接受公众监督，增强民政服务的透明度、公信力。通过官方网站、微信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微博等主动发布政策法规、解答材料、民政要闻、公示公告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，及时回复网友留言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50余条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加大民政领域相关政策公开、宣传力度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在市民政局网站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设置政务公开栏目，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长期公开业务政策规定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和年报信息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，在《淄博日报》《鲁中晨报》《淄博晚报》等媒体刊发民政政策和重点工作进展情况。在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sz w:val="32"/>
          <w:szCs w:val="32"/>
        </w:rPr>
        <w:t>电视台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及时发布各类救助政策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加强政策解读、回应社会关切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举办社会救助政策培训班，印制社会救助政策汇编300余本，分发至区县、镇办民政工作人员。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先后就新冠肺炎疫情慈善专项募捐活动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慈善事业发展情况、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“十三五”社会救助情况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召开新闻发布会，由负责人现场向公众宣传了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疫情募捐活动、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慈善事业发展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、社会救助等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年共承办建议提案39件，其中市人大代表建议9件，市政协委员提案30件，涉及民政业务中的社会救助、社区建设、社会养老、殡葬改革、区划地名管理等方面，按期办结率和答复率均达到100%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办理情况通过市政府门户网站政府信息公开专栏发布。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年，共收到信息公开申请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3件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、部分公开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不予公开1件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、无法提供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均按要求出具政府信息公开申请答复书。进一步规范了依申请公开答复程序及答复书，对依申请提供政府信息未收取检索、复印、邮寄等费用。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公开专栏。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强化公开内容的针对性，使该平台成为公众获取信息的权威渠道。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信息公开和属性源头认定机制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相关科室（局）起草文件之初，研究确定公开属性，并报局分管领导、主要领导审签。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政府信息发布审核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。严把政治关、法律关、时效关，确保政府信息合法、准确、真实。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完善政策解读机制。重要政策发布后，及时发布政策解读链接。先后制定配发了《关于在全市组织开展农村留守儿童和困境儿童关爱保护“法规政策宣讲进村（居）”活动的通知》《关于贯彻落实《关于进一步加强对特殊困难家庭人员救助的意见》有关问题的通知》等文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一是充分发挥市民政局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的阵地作用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。围绕办事服务、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解读、互动交流等内容开展常态化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宣传。年内发布各类消息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259条，维护专栏专题1个，解读回应4条，互动交流50条。二是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“淄博民政”微信、“淄博民政发布”微博影响力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订阅读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淄博民政发布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”微博用户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，全年发布微博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纳入本部门领导分工并在市政府网站上公示。按照机构调整、人员变动情况和工作需要，市民政局对政务公开工作领导小组进行了调整，局长任组长，各分管领导为副组长、各科室（局）负责人为成员的市民政局政府信息公开工作领导小组，领导小组办公室设在局办公室。领导小组办公室指定1名工作人员负责信息公开工作，确保了信息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多渠道公开，在应对突发事件及社会热点问题时不失声、不缺位。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二是强化教育培训。开展全市民政系统政务公开工作专项培训，切实提升政府信息公开工作水平。</w:t>
      </w:r>
    </w:p>
    <w:p>
      <w:pPr>
        <w:keepNext w:val="0"/>
        <w:keepLines w:val="0"/>
        <w:pageBreakBefore w:val="0"/>
        <w:widowControl w:val="0"/>
        <w:tabs>
          <w:tab w:val="left" w:pos="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/>
          <w:b/>
          <w:bCs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675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cs="宋体"/>
                <w:sz w:val="24"/>
                <w:szCs w:val="24"/>
              </w:rPr>
              <w:t>万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88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1556"/>
        <w:gridCol w:w="756"/>
        <w:gridCol w:w="756"/>
        <w:gridCol w:w="672"/>
        <w:gridCol w:w="864"/>
        <w:gridCol w:w="828"/>
        <w:gridCol w:w="648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8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（本列数据的勾稽关系为：第一项加第二项之和，等于第三项加第四项之和）</w:t>
            </w:r>
          </w:p>
        </w:tc>
        <w:tc>
          <w:tcPr>
            <w:tcW w:w="5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68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</w:rPr>
              <w:t>自然人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法人或其他组织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68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7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商业企业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科研机构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社会公益组织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法律服务机构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6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一、本年新收政府信息公开申请数量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7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二、上年结转政府信息公开申请数量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三、本年度办理结果</w:t>
            </w:r>
          </w:p>
        </w:tc>
        <w:tc>
          <w:tcPr>
            <w:tcW w:w="31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（一）予以公开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3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（三）不予公开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．属于国家秘密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．其他法律行政法规禁止公开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．危及“三安全一稳定”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．保护第三方合法权益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．属于三类内部事务信息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．属于四类过程性信息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．属于行政执法案卷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．属于行政查询事项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（四）无法提供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．本机关不掌握相关政府信息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．没有现成信息需要另行制作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．补正后申请内容仍不明确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（五）</w:t>
            </w:r>
            <w:r>
              <w:rPr>
                <w:rFonts w:hint="eastAsia" w:ascii="宋体" w:hAnsi="宋体" w:cs="宋体"/>
                <w:sz w:val="18"/>
                <w:szCs w:val="18"/>
              </w:rPr>
              <w:t>不予处理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．信访举报投诉类申请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．重复申请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．要求提供公开出版物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．无正当理由大量反复申请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680" w:hanging="180" w:hangingChars="100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（六）其他处理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（七）总计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7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四、结转下年度继续办理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88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4"/>
        <w:gridCol w:w="540"/>
        <w:gridCol w:w="564"/>
        <w:gridCol w:w="468"/>
        <w:gridCol w:w="648"/>
        <w:gridCol w:w="684"/>
        <w:gridCol w:w="696"/>
        <w:gridCol w:w="708"/>
        <w:gridCol w:w="408"/>
        <w:gridCol w:w="684"/>
        <w:gridCol w:w="636"/>
        <w:gridCol w:w="672"/>
        <w:gridCol w:w="636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未经复议直接起诉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的主要</w:t>
      </w:r>
      <w:r>
        <w:rPr>
          <w:rFonts w:hint="eastAsia" w:ascii="黑体" w:hAnsi="黑体" w:eastAsia="黑体" w:cs="黑体"/>
          <w:sz w:val="32"/>
          <w:szCs w:val="32"/>
        </w:rPr>
        <w:t>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政府信息公开工作取得了一定成绩，但仍存在一些问题：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队伍专业化水平不高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内容不够全面、及时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下一步将强化专职人员政府信息公开业务学习，确保圆满完成上级交办的各项工作任务；深入学习政府信息公开相关政策文件，吃透文件精神，不断提高政府信息公开意识，坚持“互联网+”思维，创新信息公开形式，不断提高民政系统政府信息公开工作的质量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0300"/>
    <w:rsid w:val="011E48E7"/>
    <w:rsid w:val="024F5566"/>
    <w:rsid w:val="02AB1F4D"/>
    <w:rsid w:val="05BD7BC5"/>
    <w:rsid w:val="06D270A3"/>
    <w:rsid w:val="0A2563CB"/>
    <w:rsid w:val="0B9C0EAF"/>
    <w:rsid w:val="16E431BE"/>
    <w:rsid w:val="1A3C7079"/>
    <w:rsid w:val="1C7C074E"/>
    <w:rsid w:val="229A0BE6"/>
    <w:rsid w:val="253645F1"/>
    <w:rsid w:val="2AB3471C"/>
    <w:rsid w:val="2AE43A52"/>
    <w:rsid w:val="2B4013F6"/>
    <w:rsid w:val="2BA56901"/>
    <w:rsid w:val="2D413ED1"/>
    <w:rsid w:val="32FA279A"/>
    <w:rsid w:val="36005795"/>
    <w:rsid w:val="415206A6"/>
    <w:rsid w:val="42E524C7"/>
    <w:rsid w:val="44B63FD1"/>
    <w:rsid w:val="4697184F"/>
    <w:rsid w:val="495A2933"/>
    <w:rsid w:val="4A4F74CE"/>
    <w:rsid w:val="4D4144AF"/>
    <w:rsid w:val="4E4F488C"/>
    <w:rsid w:val="4E6954B2"/>
    <w:rsid w:val="508B21B5"/>
    <w:rsid w:val="52814B3F"/>
    <w:rsid w:val="53327775"/>
    <w:rsid w:val="54E90EFC"/>
    <w:rsid w:val="581B2612"/>
    <w:rsid w:val="58A0785A"/>
    <w:rsid w:val="58D01386"/>
    <w:rsid w:val="58F66A21"/>
    <w:rsid w:val="5ABA3AEF"/>
    <w:rsid w:val="5C3A2216"/>
    <w:rsid w:val="60EE0534"/>
    <w:rsid w:val="61476D3C"/>
    <w:rsid w:val="6192758C"/>
    <w:rsid w:val="636732BC"/>
    <w:rsid w:val="67523579"/>
    <w:rsid w:val="6B6427C1"/>
    <w:rsid w:val="6B891B03"/>
    <w:rsid w:val="702014AA"/>
    <w:rsid w:val="710A44B6"/>
    <w:rsid w:val="73041295"/>
    <w:rsid w:val="78AC2D23"/>
    <w:rsid w:val="793F75ED"/>
    <w:rsid w:val="7A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Administrator</dc:creator>
  <cp:lastModifiedBy>小乐</cp:lastModifiedBy>
  <cp:lastPrinted>2021-01-28T09:03:00Z</cp:lastPrinted>
  <dcterms:modified xsi:type="dcterms:W3CDTF">2021-02-01T04:20:32Z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