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淄博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市民政局202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年政府信息公开工作年度报告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本年报根据《中华人民共和国政府信息公开条例》（下称《条例》）相关规定及省、市相关文件精神编制。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报告全文由总体情况、主动公开政府信息情况、收到和处理政府信息公开申请情况、政府信息公开行政复议、行政诉讼情况、存在的主要问题及改进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情况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其他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需要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报告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的事项等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6大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部分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组成。</w:t>
      </w:r>
      <w:r>
        <w:rPr>
          <w:rFonts w:hint="eastAsia" w:ascii="仿宋_GB2312" w:hAnsi="仿宋_GB2312" w:eastAsia="仿宋_GB2312" w:cs="仿宋_GB2312"/>
          <w:sz w:val="32"/>
          <w:szCs w:val="32"/>
        </w:rPr>
        <w:t>本报告中所列数据的统计时限自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</w:rPr>
        <w:t>年1月1日至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</w:rPr>
        <w:t>年12月31日。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总体情况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本年度主动公开公示信息640余条，收到依申请公开6件，因政府信息公开工作被申请提起行政诉讼1件。及时调整政务公开工作领导小组成员名单，积极开展相关培训，按照“管业务就要管公开”的原则，将政务公开工作纳入年度工作要点，与业务工作同部署、同安排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（一）行政机关</w:t>
      </w:r>
      <w:r>
        <w:rPr>
          <w:rFonts w:hint="eastAsia" w:ascii="楷体_GB2312" w:hAnsi="楷体_GB2312" w:eastAsia="楷体_GB2312" w:cs="楷体_GB2312"/>
          <w:sz w:val="32"/>
          <w:szCs w:val="32"/>
        </w:rPr>
        <w:t>主动公开情况。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2021年，市</w:t>
      </w:r>
      <w:r>
        <w:rPr>
          <w:rFonts w:hint="eastAsia" w:ascii="仿宋_GB2312" w:hAnsi="仿宋_GB2312" w:eastAsia="仿宋_GB2312" w:cs="仿宋_GB2312"/>
          <w:sz w:val="32"/>
          <w:szCs w:val="32"/>
        </w:rPr>
        <w:t>民政局高度重视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政府信息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公开工作的开展，不断提高民政系统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政府信息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公开工作水平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。一是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及时将202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年度重点工作完成情况面向社会公开，通过官方网站、微信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微博等主动发布民政要闻、政策、公示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640</w:t>
      </w:r>
      <w:r>
        <w:rPr>
          <w:rFonts w:hint="eastAsia" w:ascii="仿宋_GB2312" w:hAnsi="仿宋_GB2312" w:eastAsia="仿宋_GB2312" w:cs="仿宋_GB2312"/>
          <w:sz w:val="32"/>
          <w:szCs w:val="32"/>
        </w:rPr>
        <w:t>余条。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二是</w:t>
      </w:r>
      <w:r>
        <w:rPr>
          <w:rFonts w:hint="eastAsia" w:ascii="仿宋_GB2312" w:hAnsi="仿宋_GB2312" w:eastAsia="仿宋_GB2312" w:cs="仿宋_GB2312"/>
          <w:sz w:val="32"/>
          <w:szCs w:val="32"/>
        </w:rPr>
        <w:t>加大民政领域宣传力度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设置政务公开专栏，</w:t>
      </w:r>
      <w:r>
        <w:rPr>
          <w:rFonts w:hint="eastAsia" w:ascii="仿宋_GB2312" w:hAnsi="仿宋_GB2312" w:eastAsia="仿宋_GB2312" w:cs="仿宋_GB2312"/>
          <w:sz w:val="32"/>
          <w:szCs w:val="32"/>
        </w:rPr>
        <w:t>长期公开业务政策规定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和年报信息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并</w:t>
      </w:r>
      <w:r>
        <w:rPr>
          <w:rFonts w:hint="eastAsia" w:ascii="仿宋_GB2312" w:hAnsi="仿宋_GB2312" w:eastAsia="仿宋_GB2312" w:cs="仿宋_GB2312"/>
          <w:sz w:val="32"/>
          <w:szCs w:val="32"/>
        </w:rPr>
        <w:t>在《淄博日报》《鲁中晨报》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和市电视台</w:t>
      </w:r>
      <w:r>
        <w:rPr>
          <w:rFonts w:hint="eastAsia" w:ascii="仿宋_GB2312" w:hAnsi="仿宋_GB2312" w:eastAsia="仿宋_GB2312" w:cs="仿宋_GB2312"/>
          <w:sz w:val="32"/>
          <w:szCs w:val="32"/>
        </w:rPr>
        <w:t>等媒体刊发民政政策和重点工作进展情况。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三是</w:t>
      </w:r>
      <w:r>
        <w:rPr>
          <w:rFonts w:hint="eastAsia" w:ascii="仿宋_GB2312" w:hAnsi="仿宋_GB2312" w:eastAsia="仿宋_GB2312" w:cs="仿宋_GB2312"/>
          <w:sz w:val="32"/>
          <w:szCs w:val="32"/>
        </w:rPr>
        <w:t>举办社会救助政策培训班，印制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《“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淄助你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社会救助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对象服务手册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6万</w:t>
      </w:r>
      <w:r>
        <w:rPr>
          <w:rFonts w:hint="eastAsia" w:ascii="仿宋_GB2312" w:hAnsi="仿宋_GB2312" w:eastAsia="仿宋_GB2312" w:cs="仿宋_GB2312"/>
          <w:sz w:val="32"/>
          <w:szCs w:val="32"/>
        </w:rPr>
        <w:t>余本，分发至区县、镇办民政工作人员。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四是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先后就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长者食堂、“我为群众办实事”、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慈善事业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、“十三五”社会救助情况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召开新闻发布会，由负责人现场向公众宣传了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val="en-US" w:eastAsia="zh-CN"/>
        </w:rPr>
        <w:t>长者食堂建设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慈善事业发展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  <w:lang w:eastAsia="zh-CN"/>
        </w:rPr>
        <w:t>、社会救助等</w:t>
      </w:r>
      <w:r>
        <w:rPr>
          <w:rFonts w:hint="eastAsia" w:ascii="仿宋_GB2312" w:hAnsi="仿宋_GB2312" w:eastAsia="仿宋_GB2312" w:cs="仿宋_GB2312"/>
          <w:sz w:val="32"/>
          <w:szCs w:val="32"/>
          <w:u w:val="none"/>
        </w:rPr>
        <w:t>情况。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266690" cy="3284855"/>
            <wp:effectExtent l="0" t="0" r="1016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</w:rPr>
        <w:t>依申请公开情况。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</w:rPr>
        <w:t>年，共收到信息公开申请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sz w:val="32"/>
          <w:szCs w:val="32"/>
        </w:rPr>
        <w:t>件，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其中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予以公开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均按要求出具政府信息公开申请答复书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不予公开2件，部分公开2件。比2020年</w:t>
      </w:r>
      <w:r>
        <w:rPr>
          <w:rFonts w:hint="eastAsia" w:ascii="仿宋_GB2312" w:hAnsi="仿宋_GB2312" w:eastAsia="仿宋_GB2312" w:cs="仿宋_GB2312"/>
          <w:sz w:val="32"/>
          <w:szCs w:val="32"/>
        </w:rPr>
        <w:t>信息公开申请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件减少1件，其中予以公开减少1件、部分公开增加1件、不予公开增加1件、无法提供减少2件。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4335145" cy="2484755"/>
            <wp:effectExtent l="0" t="0" r="8255" b="10795"/>
            <wp:docPr id="6" name="图片 6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514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sz w:val="32"/>
          <w:szCs w:val="32"/>
        </w:rPr>
        <w:t>）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政府信息管理</w:t>
      </w:r>
      <w:r>
        <w:rPr>
          <w:rFonts w:hint="eastAsia" w:ascii="楷体_GB2312" w:hAnsi="楷体_GB2312" w:eastAsia="楷体_GB2312" w:cs="楷体_GB2312"/>
          <w:sz w:val="32"/>
          <w:szCs w:val="32"/>
        </w:rPr>
        <w:t>情况。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一方面，</w:t>
      </w:r>
      <w:r>
        <w:rPr>
          <w:rFonts w:hint="eastAsia" w:ascii="仿宋_GB2312" w:hAnsi="仿宋_GB2312" w:eastAsia="仿宋_GB2312" w:cs="仿宋_GB2312"/>
          <w:sz w:val="32"/>
          <w:szCs w:val="32"/>
        </w:rPr>
        <w:t>严格落实政府信息公开和属性源头认定机制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由</w:t>
      </w:r>
      <w:r>
        <w:rPr>
          <w:rFonts w:hint="eastAsia" w:ascii="仿宋_GB2312" w:hAnsi="仿宋_GB2312" w:eastAsia="仿宋_GB2312" w:cs="仿宋_GB2312"/>
          <w:sz w:val="32"/>
          <w:szCs w:val="32"/>
        </w:rPr>
        <w:t>相关科室（局）起草文件，研究确定公开属性，并报局分管领导、主要领导审签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后发文公示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另一方面，严把政治关、法律关、时效关，确保政府信息合法、准确、真实，及时发布政策解读链接。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  <w:rPr>
          <w:rFonts w:hint="eastAsia"/>
        </w:rPr>
      </w:pPr>
      <w:r>
        <w:drawing>
          <wp:inline distT="0" distB="0" distL="114300" distR="114300">
            <wp:extent cx="5267325" cy="5762625"/>
            <wp:effectExtent l="0" t="0" r="9525" b="952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</w:rPr>
      </w:pP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（四）政府信息公开</w:t>
      </w:r>
      <w:r>
        <w:rPr>
          <w:rFonts w:hint="eastAsia" w:ascii="楷体_GB2312" w:hAnsi="楷体_GB2312" w:eastAsia="楷体_GB2312" w:cs="楷体_GB2312"/>
          <w:sz w:val="32"/>
          <w:szCs w:val="32"/>
        </w:rPr>
        <w:t>平台建设情况。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年，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共在局网站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发布各类消息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379条，维护专栏专题1个，解读回应66条，互动交流43条；在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“淄博民政”微信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公众号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发布信息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196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条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淄博民政发布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”发布微博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67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条。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jc w:val="center"/>
        <w:textAlignment w:val="auto"/>
      </w:pPr>
      <w:r>
        <w:drawing>
          <wp:inline distT="0" distB="0" distL="114300" distR="114300">
            <wp:extent cx="4619625" cy="7448550"/>
            <wp:effectExtent l="0" t="0" r="952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273040" cy="6587490"/>
            <wp:effectExtent l="0" t="0" r="3810" b="38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8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sz w:val="32"/>
          <w:szCs w:val="32"/>
          <w:lang w:val="en-US" w:eastAsia="zh-CN"/>
        </w:rPr>
        <w:t>五</w:t>
      </w:r>
      <w:r>
        <w:rPr>
          <w:rFonts w:hint="eastAsia" w:ascii="楷体_GB2312" w:hAnsi="楷体_GB2312" w:eastAsia="楷体_GB2312" w:cs="楷体_GB2312"/>
          <w:sz w:val="32"/>
          <w:szCs w:val="32"/>
        </w:rPr>
        <w:t>）监督保障情况。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及时调整</w:t>
      </w:r>
      <w:r>
        <w:rPr>
          <w:rFonts w:hint="eastAsia" w:ascii="仿宋_GB2312" w:hAnsi="仿宋_GB2312" w:eastAsia="仿宋_GB2312" w:cs="仿宋_GB2312"/>
          <w:sz w:val="32"/>
          <w:szCs w:val="32"/>
        </w:rPr>
        <w:t>政务公开工作领导小组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成员名单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按照机构调整、人员变动情况和工作需要，市民政局对政务公开工作领导小组进行了调整，局长任组长，各分管领导为副组长、各科室（局）负责人为成员的市民政局政府信息公开工作领导小组，领导小组办公室设在局办公室。领导小组办公室指定1名工作人员负责信息公开工作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定期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开展全市民政系统政务公开工作专项培训，切实提升政府信息公开工作水平，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提高工作质量（领导小组公示网址为http://mzh.zibo.gov.cn/gongkai/channel_c_5f9fa491ab327f36e4c1306b_n_1606588112.9869/doc_5fc4e91a84b0fab9dc565c37.html）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32"/>
          <w:szCs w:val="32"/>
        </w:rPr>
        <w:t>二、主动公开政府信息情况</w:t>
      </w:r>
    </w:p>
    <w:tbl>
      <w:tblPr>
        <w:tblStyle w:val="6"/>
        <w:tblW w:w="88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0"/>
        <w:gridCol w:w="2200"/>
        <w:gridCol w:w="2200"/>
        <w:gridCol w:w="22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880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22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本年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制发件数</w:t>
            </w:r>
          </w:p>
        </w:tc>
        <w:tc>
          <w:tcPr>
            <w:tcW w:w="22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本年废止件数</w:t>
            </w:r>
          </w:p>
        </w:tc>
        <w:tc>
          <w:tcPr>
            <w:tcW w:w="22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现行有效件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bidi="ar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规章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2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行政规范性文件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0</w:t>
            </w:r>
          </w:p>
        </w:tc>
        <w:tc>
          <w:tcPr>
            <w:tcW w:w="22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880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60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220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行政许可</w:t>
            </w:r>
          </w:p>
        </w:tc>
        <w:tc>
          <w:tcPr>
            <w:tcW w:w="660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 w:bidi="ar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880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600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行政处罚</w:t>
            </w:r>
          </w:p>
        </w:tc>
        <w:tc>
          <w:tcPr>
            <w:tcW w:w="660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行政强制</w:t>
            </w:r>
          </w:p>
        </w:tc>
        <w:tc>
          <w:tcPr>
            <w:tcW w:w="6600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880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信息内容</w:t>
            </w:r>
          </w:p>
        </w:tc>
        <w:tc>
          <w:tcPr>
            <w:tcW w:w="6600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  <w:jc w:val="center"/>
        </w:trPr>
        <w:tc>
          <w:tcPr>
            <w:tcW w:w="220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spacing w:before="100" w:beforeAutospacing="1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行政事业性收费</w:t>
            </w:r>
          </w:p>
        </w:tc>
        <w:tc>
          <w:tcPr>
            <w:tcW w:w="6600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 w:val="0"/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36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三、收到和处理政府信息公开申请情况</w:t>
      </w:r>
    </w:p>
    <w:tbl>
      <w:tblPr>
        <w:tblStyle w:val="6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57" w:type="dxa"/>
          <w:bottom w:w="0" w:type="dxa"/>
          <w:right w:w="57" w:type="dxa"/>
        </w:tblCellMar>
      </w:tblPr>
      <w:tblGrid>
        <w:gridCol w:w="754"/>
        <w:gridCol w:w="921"/>
        <w:gridCol w:w="3257"/>
        <w:gridCol w:w="688"/>
        <w:gridCol w:w="688"/>
        <w:gridCol w:w="688"/>
        <w:gridCol w:w="688"/>
        <w:gridCol w:w="688"/>
        <w:gridCol w:w="688"/>
        <w:gridCol w:w="688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bidi="ar"/>
              </w:rPr>
              <w:t>（本列数据的勾稽关系为：第一项加第二项之和，等于第三项加第四项之和）</w:t>
            </w:r>
          </w:p>
        </w:tc>
        <w:tc>
          <w:tcPr>
            <w:tcW w:w="4998" w:type="dxa"/>
            <w:gridSpan w:val="7"/>
            <w:tcBorders>
              <w:top w:val="single" w:color="auto" w:sz="8" w:space="0"/>
              <w:left w:val="single" w:color="auto" w:sz="0" w:space="0"/>
              <w:bottom w:val="wav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714" w:type="dxa"/>
            <w:vMerge w:val="restart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自然人</w:t>
            </w:r>
          </w:p>
        </w:tc>
        <w:tc>
          <w:tcPr>
            <w:tcW w:w="3570" w:type="dxa"/>
            <w:gridSpan w:val="5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法人或其他组织</w:t>
            </w:r>
          </w:p>
        </w:tc>
        <w:tc>
          <w:tcPr>
            <w:tcW w:w="714" w:type="dxa"/>
            <w:vMerge w:val="restart"/>
            <w:tcBorders>
              <w:top w:val="single" w:color="auto" w:sz="8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714" w:type="dxa"/>
            <w:vMerge w:val="continue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商业</w:t>
            </w:r>
          </w:p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企业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科研</w:t>
            </w:r>
          </w:p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机构</w:t>
            </w:r>
          </w:p>
        </w:tc>
        <w:tc>
          <w:tcPr>
            <w:tcW w:w="714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社会公益组织</w:t>
            </w:r>
          </w:p>
        </w:tc>
        <w:tc>
          <w:tcPr>
            <w:tcW w:w="714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法律服务机构</w:t>
            </w:r>
          </w:p>
        </w:tc>
        <w:tc>
          <w:tcPr>
            <w:tcW w:w="714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center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其他</w:t>
            </w:r>
          </w:p>
        </w:tc>
        <w:tc>
          <w:tcPr>
            <w:tcW w:w="714" w:type="dxa"/>
            <w:vMerge w:val="continue"/>
            <w:tcBorders>
              <w:top w:val="single" w:color="auto" w:sz="8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一、本年新收政府信息公开申请数量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二、上年结转政府信息公开申请数量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restart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三、本年度办理结果</w:t>
            </w:r>
          </w:p>
        </w:tc>
        <w:tc>
          <w:tcPr>
            <w:tcW w:w="4365" w:type="dxa"/>
            <w:gridSpan w:val="2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（一）予以公开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4365" w:type="dxa"/>
            <w:gridSpan w:val="2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（二）部分公开</w:t>
            </w:r>
            <w:r>
              <w:rPr>
                <w:rFonts w:hint="eastAsia" w:ascii="楷体" w:hAnsi="楷体" w:eastAsia="楷体" w:cs="楷体"/>
                <w:kern w:val="0"/>
                <w:sz w:val="20"/>
                <w:szCs w:val="20"/>
                <w:lang w:bidi="ar"/>
              </w:rPr>
              <w:t>（区分处理的，只计这一情形，不计其他情形）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（三）不予公开</w:t>
            </w: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1.属于国家秘密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2.其他法律行政法规禁止公开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3.危及“三安全一稳定”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4.保护第三方合法权益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5.属于三类内部事务信息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6.属于四类过程性信息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7.属于行政执法案卷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8.属于行政查询事项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（四）无法提供</w:t>
            </w: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1.本机关不掌握相关政府信息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2.没有现成信息需要另行制作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3.补正后申请内容仍不明确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（五）不予处理</w:t>
            </w: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1.信访举报投诉类申请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2.重复申请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3.要求提供公开出版物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8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4.无正当理由大量反复申请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trHeight w:val="779" w:hRule="atLeast"/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5.要求行政机关确认或重新出具已获取信息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single" w:color="auto" w:sz="0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restart"/>
            <w:tcBorders>
              <w:top w:val="outset" w:color="auto" w:sz="6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（六）其他处理</w:t>
            </w: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1.申请人无正当理由逾期不补正、行政机关不再处理其政府信息公开申请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outset" w:color="auto" w:sz="6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2.申请人逾期未按收费通知要求缴纳费用、行政机关不再处理其政府信息公开申请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  <w:bookmarkStart w:id="0" w:name="_GoBack"/>
            <w:bookmarkEnd w:id="0"/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959" w:type="dxa"/>
            <w:vMerge w:val="continue"/>
            <w:tcBorders>
              <w:top w:val="outset" w:color="auto" w:sz="6" w:space="0"/>
              <w:left w:val="single" w:color="auto" w:sz="0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3406" w:type="dxa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3.其他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785" w:type="dxa"/>
            <w:vMerge w:val="continue"/>
            <w:tcBorders>
              <w:top w:val="single" w:color="auto" w:sz="0" w:space="0"/>
              <w:left w:val="single" w:color="auto" w:sz="8" w:space="0"/>
              <w:bottom w:val="outset" w:color="auto" w:sz="6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rPr>
                <w:rFonts w:hint="eastAsia" w:ascii="宋体"/>
                <w:sz w:val="24"/>
              </w:rPr>
            </w:pPr>
          </w:p>
        </w:tc>
        <w:tc>
          <w:tcPr>
            <w:tcW w:w="4365" w:type="dxa"/>
            <w:gridSpan w:val="2"/>
            <w:tcBorders>
              <w:top w:val="single" w:color="auto" w:sz="0" w:space="0"/>
              <w:left w:val="single" w:color="auto" w:sz="0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（七）总计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rPr>
                <w:rFonts w:hint="eastAsia"/>
                <w:lang w:val="en-US" w:eastAsia="zh-CN"/>
              </w:rPr>
              <w:t>6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57" w:type="dxa"/>
            <w:bottom w:w="0" w:type="dxa"/>
            <w:right w:w="57" w:type="dxa"/>
          </w:tblCellMar>
        </w:tblPrEx>
        <w:trPr>
          <w:jc w:val="center"/>
        </w:trPr>
        <w:tc>
          <w:tcPr>
            <w:tcW w:w="5150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spacing w:before="100" w:beforeAutospacing="1"/>
              <w:jc w:val="left"/>
            </w:pPr>
            <w:r>
              <w:rPr>
                <w:rFonts w:hint="eastAsia" w:ascii="宋体" w:hAnsi="宋体" w:cs="宋体"/>
                <w:kern w:val="0"/>
                <w:sz w:val="20"/>
                <w:szCs w:val="20"/>
                <w:lang w:bidi="ar"/>
              </w:rPr>
              <w:t>四、结转下年度继续办理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</w:pPr>
            <w:r>
              <w:t>0</w:t>
            </w:r>
          </w:p>
        </w:tc>
        <w:tc>
          <w:tcPr>
            <w:tcW w:w="71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宋体"/>
                <w:sz w:val="24"/>
              </w:rPr>
            </w:pPr>
            <w: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四、政府信息公开行政复议、行政诉讼情况</w:t>
      </w:r>
    </w:p>
    <w:tbl>
      <w:tblPr>
        <w:tblStyle w:val="6"/>
        <w:tblW w:w="8856" w:type="dxa"/>
        <w:tblInd w:w="-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0"/>
        <w:gridCol w:w="504"/>
        <w:gridCol w:w="540"/>
        <w:gridCol w:w="564"/>
        <w:gridCol w:w="468"/>
        <w:gridCol w:w="648"/>
        <w:gridCol w:w="684"/>
        <w:gridCol w:w="696"/>
        <w:gridCol w:w="708"/>
        <w:gridCol w:w="408"/>
        <w:gridCol w:w="684"/>
        <w:gridCol w:w="636"/>
        <w:gridCol w:w="672"/>
        <w:gridCol w:w="636"/>
        <w:gridCol w:w="4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</w:trPr>
        <w:tc>
          <w:tcPr>
            <w:tcW w:w="2616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cs="Times New Roman"/>
              </w:rPr>
            </w:pPr>
            <w:r>
              <w:rPr>
                <w:rFonts w:hint="eastAsia" w:cs="宋体"/>
              </w:rPr>
              <w:t>行政复议</w:t>
            </w:r>
          </w:p>
        </w:tc>
        <w:tc>
          <w:tcPr>
            <w:tcW w:w="6240" w:type="dxa"/>
            <w:gridSpan w:val="1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cs="Times New Roman"/>
              </w:rPr>
            </w:pPr>
            <w:r>
              <w:rPr>
                <w:rFonts w:hint="eastAsia" w:cs="宋体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540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结果维持</w:t>
            </w:r>
          </w:p>
        </w:tc>
        <w:tc>
          <w:tcPr>
            <w:tcW w:w="50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结果纠正</w:t>
            </w:r>
          </w:p>
        </w:tc>
        <w:tc>
          <w:tcPr>
            <w:tcW w:w="540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其他结果</w:t>
            </w:r>
          </w:p>
        </w:tc>
        <w:tc>
          <w:tcPr>
            <w:tcW w:w="564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尚未审结</w:t>
            </w:r>
          </w:p>
        </w:tc>
        <w:tc>
          <w:tcPr>
            <w:tcW w:w="468" w:type="dxa"/>
            <w:vMerge w:val="restar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总计</w:t>
            </w:r>
          </w:p>
        </w:tc>
        <w:tc>
          <w:tcPr>
            <w:tcW w:w="3144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未经复议直接起诉</w:t>
            </w:r>
          </w:p>
        </w:tc>
        <w:tc>
          <w:tcPr>
            <w:tcW w:w="3096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0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04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40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564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vMerge w:val="continue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4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结果维持</w:t>
            </w:r>
          </w:p>
        </w:tc>
        <w:tc>
          <w:tcPr>
            <w:tcW w:w="6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结果纠正</w:t>
            </w:r>
          </w:p>
        </w:tc>
        <w:tc>
          <w:tcPr>
            <w:tcW w:w="69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其他结果</w:t>
            </w:r>
          </w:p>
        </w:tc>
        <w:tc>
          <w:tcPr>
            <w:tcW w:w="7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尚未审结</w:t>
            </w:r>
          </w:p>
        </w:tc>
        <w:tc>
          <w:tcPr>
            <w:tcW w:w="40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总计</w:t>
            </w:r>
          </w:p>
        </w:tc>
        <w:tc>
          <w:tcPr>
            <w:tcW w:w="684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结果维持</w:t>
            </w:r>
          </w:p>
        </w:tc>
        <w:tc>
          <w:tcPr>
            <w:tcW w:w="63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结果纠正</w:t>
            </w:r>
          </w:p>
        </w:tc>
        <w:tc>
          <w:tcPr>
            <w:tcW w:w="672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其他结果</w:t>
            </w:r>
          </w:p>
        </w:tc>
        <w:tc>
          <w:tcPr>
            <w:tcW w:w="636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尚未审结</w:t>
            </w:r>
          </w:p>
        </w:tc>
        <w:tc>
          <w:tcPr>
            <w:tcW w:w="468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jc w:val="left"/>
              <w:textAlignment w:val="auto"/>
              <w:rPr>
                <w:rFonts w:cs="Times New Roman"/>
                <w:sz w:val="18"/>
                <w:szCs w:val="18"/>
              </w:rPr>
            </w:pPr>
            <w:r>
              <w:rPr>
                <w:rFonts w:hint="eastAsia" w:cs="宋体"/>
                <w:sz w:val="18"/>
                <w:szCs w:val="18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0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eastAsiaTheme="minorEastAsia"/>
                <w:sz w:val="18"/>
                <w:szCs w:val="18"/>
                <w:lang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5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56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  <w:tc>
          <w:tcPr>
            <w:tcW w:w="4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4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</w:t>
            </w:r>
          </w:p>
        </w:tc>
        <w:tc>
          <w:tcPr>
            <w:tcW w:w="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  <w:tc>
          <w:tcPr>
            <w:tcW w:w="6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  <w:tc>
          <w:tcPr>
            <w:tcW w:w="7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40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8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  <w:tc>
          <w:tcPr>
            <w:tcW w:w="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  <w:tc>
          <w:tcPr>
            <w:tcW w:w="67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  <w:tc>
          <w:tcPr>
            <w:tcW w:w="63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  <w:tc>
          <w:tcPr>
            <w:tcW w:w="46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</w:pPr>
            <w:r>
              <w:t>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五、存在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的主要</w:t>
      </w:r>
      <w:r>
        <w:rPr>
          <w:rFonts w:hint="eastAsia" w:ascii="黑体" w:hAnsi="黑体" w:eastAsia="黑体" w:cs="黑体"/>
          <w:sz w:val="32"/>
          <w:szCs w:val="32"/>
        </w:rPr>
        <w:t>问题及改进情况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，市民政局</w:t>
      </w:r>
      <w:r>
        <w:rPr>
          <w:rFonts w:hint="eastAsia" w:ascii="仿宋_GB2312" w:hAnsi="仿宋_GB2312" w:eastAsia="仿宋_GB2312" w:cs="仿宋_GB2312"/>
          <w:sz w:val="32"/>
          <w:szCs w:val="32"/>
        </w:rPr>
        <w:t>政府信息公开工作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成绩显著，但仍存在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政府信息</w:t>
      </w:r>
      <w:r>
        <w:rPr>
          <w:rFonts w:hint="eastAsia" w:ascii="仿宋_GB2312" w:hAnsi="仿宋_GB2312" w:eastAsia="仿宋_GB2312" w:cs="仿宋_GB2312"/>
          <w:sz w:val="32"/>
          <w:szCs w:val="32"/>
        </w:rPr>
        <w:t>公开内容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</w:t>
      </w:r>
      <w:r>
        <w:rPr>
          <w:rFonts w:hint="eastAsia" w:ascii="仿宋_GB2312" w:hAnsi="仿宋_GB2312" w:eastAsia="仿宋_GB2312" w:cs="仿宋_GB2312"/>
          <w:sz w:val="32"/>
          <w:szCs w:val="32"/>
        </w:rPr>
        <w:t>及时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栏目缺失等问题，我们查缺补漏，补充缺失栏目，及时更新欠缺内容，并开展工作人员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业务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培训，避免出现类似行为，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不断提高民政系统政府信息公开工作的质量水平。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六、其他需要报告的事项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是建议提案情况，市民政局2021年共承办建议提案27件，其中市人大代表建议7件，市政协委员提案20件，涉及民政业务中的社会救助、社区建设、社会养老、社会组织管理、区划地名管理等方面，按期办结率和答复率均达到100%，办理情况通过市政府门户网站政府信息公开专栏发布。二是依申请公开办件，2021年市民政局共收到信息公开申请6件，未收取任何情况。三是年度要点落实情况，市民政局按时召开工作培训会议，及时报送工作进展，加强媒体宣传引导，并推进民政重点工作、公共服务、社会组织、社会救助、社会福利、部门预决算等信息公开情况。</w:t>
      </w:r>
    </w:p>
    <w:p>
      <w:pPr>
        <w:pStyle w:val="2"/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淄博市民政局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800" w:firstLineChars="15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2022年1月21日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D5EF365"/>
    <w:multiLevelType w:val="singleLevel"/>
    <w:tmpl w:val="9D5EF3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70300"/>
    <w:rsid w:val="00CC6570"/>
    <w:rsid w:val="011E48E7"/>
    <w:rsid w:val="01E11440"/>
    <w:rsid w:val="024F5566"/>
    <w:rsid w:val="02AB1F4D"/>
    <w:rsid w:val="02F17B5E"/>
    <w:rsid w:val="02F74859"/>
    <w:rsid w:val="032D2AFF"/>
    <w:rsid w:val="03C40F11"/>
    <w:rsid w:val="050711AF"/>
    <w:rsid w:val="05BD7BC5"/>
    <w:rsid w:val="063808D4"/>
    <w:rsid w:val="06D270A3"/>
    <w:rsid w:val="07D23FC6"/>
    <w:rsid w:val="09037E94"/>
    <w:rsid w:val="096B33D6"/>
    <w:rsid w:val="09B66810"/>
    <w:rsid w:val="0A2563CB"/>
    <w:rsid w:val="0A8B2103"/>
    <w:rsid w:val="0AC43A38"/>
    <w:rsid w:val="0B9C0EAF"/>
    <w:rsid w:val="0F1D2343"/>
    <w:rsid w:val="0FC70A23"/>
    <w:rsid w:val="114C01B3"/>
    <w:rsid w:val="11E00AE5"/>
    <w:rsid w:val="12FF0026"/>
    <w:rsid w:val="149C3F82"/>
    <w:rsid w:val="14A6682A"/>
    <w:rsid w:val="15246305"/>
    <w:rsid w:val="15404AA4"/>
    <w:rsid w:val="1660559A"/>
    <w:rsid w:val="16DE1E35"/>
    <w:rsid w:val="16E431BE"/>
    <w:rsid w:val="17EE6E78"/>
    <w:rsid w:val="18193CF4"/>
    <w:rsid w:val="18B138B9"/>
    <w:rsid w:val="18D5489A"/>
    <w:rsid w:val="19D6087B"/>
    <w:rsid w:val="1A3C7079"/>
    <w:rsid w:val="1AA55992"/>
    <w:rsid w:val="1B233472"/>
    <w:rsid w:val="1BE90229"/>
    <w:rsid w:val="1C1111AE"/>
    <w:rsid w:val="1C7C074E"/>
    <w:rsid w:val="1DDF76C9"/>
    <w:rsid w:val="1F8237BA"/>
    <w:rsid w:val="1F9A593E"/>
    <w:rsid w:val="21D44C80"/>
    <w:rsid w:val="22687632"/>
    <w:rsid w:val="229A0BE6"/>
    <w:rsid w:val="22E4238C"/>
    <w:rsid w:val="23A705B2"/>
    <w:rsid w:val="243567DF"/>
    <w:rsid w:val="253645F1"/>
    <w:rsid w:val="25431168"/>
    <w:rsid w:val="266C700A"/>
    <w:rsid w:val="26763970"/>
    <w:rsid w:val="26DD3755"/>
    <w:rsid w:val="28CF0DA6"/>
    <w:rsid w:val="2AB3471C"/>
    <w:rsid w:val="2AE43A52"/>
    <w:rsid w:val="2B3F6441"/>
    <w:rsid w:val="2B4013F6"/>
    <w:rsid w:val="2BA56901"/>
    <w:rsid w:val="2D413ED1"/>
    <w:rsid w:val="2D8152C6"/>
    <w:rsid w:val="300C7C02"/>
    <w:rsid w:val="30896624"/>
    <w:rsid w:val="30B74ADD"/>
    <w:rsid w:val="31E60B6C"/>
    <w:rsid w:val="327114AD"/>
    <w:rsid w:val="32FA279A"/>
    <w:rsid w:val="3307222A"/>
    <w:rsid w:val="33170B93"/>
    <w:rsid w:val="33AA502D"/>
    <w:rsid w:val="33F84FB1"/>
    <w:rsid w:val="35F62DD8"/>
    <w:rsid w:val="36005795"/>
    <w:rsid w:val="36DF204E"/>
    <w:rsid w:val="38384DF5"/>
    <w:rsid w:val="38CE044F"/>
    <w:rsid w:val="39D916F1"/>
    <w:rsid w:val="3A887E28"/>
    <w:rsid w:val="3AB5687E"/>
    <w:rsid w:val="3B3C3F4D"/>
    <w:rsid w:val="3B5B6549"/>
    <w:rsid w:val="3B6E65D3"/>
    <w:rsid w:val="3BB44B7A"/>
    <w:rsid w:val="3D1B7BDB"/>
    <w:rsid w:val="3DDD3EBD"/>
    <w:rsid w:val="3E5F0EA2"/>
    <w:rsid w:val="3EBB2F11"/>
    <w:rsid w:val="3EE44ADC"/>
    <w:rsid w:val="40B76618"/>
    <w:rsid w:val="415206A6"/>
    <w:rsid w:val="41633A74"/>
    <w:rsid w:val="416B4EA6"/>
    <w:rsid w:val="423E7822"/>
    <w:rsid w:val="42E524C7"/>
    <w:rsid w:val="43D03F1C"/>
    <w:rsid w:val="443956AE"/>
    <w:rsid w:val="443A536C"/>
    <w:rsid w:val="44B63FD1"/>
    <w:rsid w:val="45613CF4"/>
    <w:rsid w:val="467463C7"/>
    <w:rsid w:val="4697184F"/>
    <w:rsid w:val="46A4476F"/>
    <w:rsid w:val="473C0D37"/>
    <w:rsid w:val="4883562C"/>
    <w:rsid w:val="495A2933"/>
    <w:rsid w:val="4A4F74CE"/>
    <w:rsid w:val="4A7666AE"/>
    <w:rsid w:val="4B09666C"/>
    <w:rsid w:val="4B2500A0"/>
    <w:rsid w:val="4C82744A"/>
    <w:rsid w:val="4D4144AF"/>
    <w:rsid w:val="4D4E2775"/>
    <w:rsid w:val="4E4C259F"/>
    <w:rsid w:val="4E4F488C"/>
    <w:rsid w:val="4E6954B2"/>
    <w:rsid w:val="4FFF7EC7"/>
    <w:rsid w:val="503627C7"/>
    <w:rsid w:val="508B21B5"/>
    <w:rsid w:val="50F20556"/>
    <w:rsid w:val="511C6E40"/>
    <w:rsid w:val="52814B3F"/>
    <w:rsid w:val="52D44443"/>
    <w:rsid w:val="53327775"/>
    <w:rsid w:val="53584C9C"/>
    <w:rsid w:val="53677694"/>
    <w:rsid w:val="54A742E4"/>
    <w:rsid w:val="54CD1990"/>
    <w:rsid w:val="54E90EFC"/>
    <w:rsid w:val="5635455F"/>
    <w:rsid w:val="571E7256"/>
    <w:rsid w:val="581B2612"/>
    <w:rsid w:val="58A0785A"/>
    <w:rsid w:val="58D01386"/>
    <w:rsid w:val="58F66A21"/>
    <w:rsid w:val="59925399"/>
    <w:rsid w:val="5ABA3AEF"/>
    <w:rsid w:val="5C3A2216"/>
    <w:rsid w:val="5CDD173D"/>
    <w:rsid w:val="5CFA7A70"/>
    <w:rsid w:val="5EE26CFF"/>
    <w:rsid w:val="5F060E77"/>
    <w:rsid w:val="5FF24861"/>
    <w:rsid w:val="60125867"/>
    <w:rsid w:val="60296ED3"/>
    <w:rsid w:val="60416F5C"/>
    <w:rsid w:val="60C10D4B"/>
    <w:rsid w:val="60EE0534"/>
    <w:rsid w:val="61120027"/>
    <w:rsid w:val="61476D3C"/>
    <w:rsid w:val="6192758C"/>
    <w:rsid w:val="619872CC"/>
    <w:rsid w:val="636732BC"/>
    <w:rsid w:val="64FC2E85"/>
    <w:rsid w:val="66870A06"/>
    <w:rsid w:val="67294D58"/>
    <w:rsid w:val="67523579"/>
    <w:rsid w:val="692C003E"/>
    <w:rsid w:val="69BB1D43"/>
    <w:rsid w:val="69F37AE9"/>
    <w:rsid w:val="6AD54D10"/>
    <w:rsid w:val="6B6427C1"/>
    <w:rsid w:val="6B891B03"/>
    <w:rsid w:val="6BD62411"/>
    <w:rsid w:val="6D077934"/>
    <w:rsid w:val="6D356737"/>
    <w:rsid w:val="6E097D34"/>
    <w:rsid w:val="6E560FA8"/>
    <w:rsid w:val="6E6334E0"/>
    <w:rsid w:val="6F0D1321"/>
    <w:rsid w:val="702014AA"/>
    <w:rsid w:val="710A44B6"/>
    <w:rsid w:val="71F17AB9"/>
    <w:rsid w:val="7219778C"/>
    <w:rsid w:val="73041295"/>
    <w:rsid w:val="735C480D"/>
    <w:rsid w:val="73925DAE"/>
    <w:rsid w:val="74DB58AB"/>
    <w:rsid w:val="77981A5E"/>
    <w:rsid w:val="78862FD9"/>
    <w:rsid w:val="78AC2D23"/>
    <w:rsid w:val="790141EE"/>
    <w:rsid w:val="793F75ED"/>
    <w:rsid w:val="79703E03"/>
    <w:rsid w:val="7AF56D07"/>
    <w:rsid w:val="7CE368A3"/>
    <w:rsid w:val="BA7FB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9"/>
    <w:pPr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44"/>
      <w:sz w:val="48"/>
      <w:szCs w:val="4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2021-01-26T15:16:00Z</dcterms:created>
  <dc:creator>Administrator</dc:creator>
  <cp:lastModifiedBy>Lenovo</cp:lastModifiedBy>
  <cp:lastPrinted>2021-01-28T17:03:00Z</cp:lastPrinted>
  <dcterms:modified xsi:type="dcterms:W3CDTF">2022-02-24T09:11:50Z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